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C2DF" w14:textId="77777777" w:rsidR="000F0BD4" w:rsidRPr="000F0BD4" w:rsidRDefault="000F0BD4" w:rsidP="000F0BD4">
      <w:pPr>
        <w:spacing w:before="60"/>
        <w:ind w:left="-86"/>
        <w:rPr>
          <w:rFonts w:ascii="Segoe UI Semilight" w:hAnsi="Segoe UI Semilight" w:cs="Segoe UI Semilight"/>
          <w:sz w:val="18"/>
          <w:szCs w:val="22"/>
        </w:rPr>
      </w:pPr>
      <w:bookmarkStart w:id="0" w:name="_Hlk518900661"/>
    </w:p>
    <w:p w14:paraId="689EE61C" w14:textId="77777777" w:rsidR="00C9444B" w:rsidRDefault="00C9444B" w:rsidP="00C9444B">
      <w:pPr>
        <w:ind w:hanging="187"/>
        <w:rPr>
          <w:rFonts w:ascii="Segoe UI Semilight" w:hAnsi="Segoe UI Semilight" w:cs="Segoe UI Semilight"/>
          <w:sz w:val="28"/>
          <w:szCs w:val="22"/>
        </w:rPr>
      </w:pPr>
    </w:p>
    <w:p w14:paraId="32EEBF2D" w14:textId="77777777" w:rsidR="00C9444B" w:rsidRPr="00C9444B" w:rsidRDefault="00C9444B" w:rsidP="00C9444B">
      <w:pPr>
        <w:ind w:hanging="187"/>
        <w:rPr>
          <w:rFonts w:ascii="Segoe UI Semilight" w:hAnsi="Segoe UI Semilight" w:cs="Segoe UI Semilight"/>
          <w:sz w:val="22"/>
          <w:szCs w:val="22"/>
        </w:rPr>
      </w:pPr>
    </w:p>
    <w:p w14:paraId="0C28F69F" w14:textId="77777777" w:rsidR="005469E6" w:rsidRDefault="00C9444B" w:rsidP="00C9444B">
      <w:pPr>
        <w:ind w:hanging="187"/>
        <w:rPr>
          <w:rFonts w:ascii="Segoe UI Semilight" w:hAnsi="Segoe UI Semilight" w:cs="Segoe UI Semilight"/>
          <w:sz w:val="28"/>
          <w:szCs w:val="22"/>
        </w:rPr>
        <w:sectPr w:rsidR="005469E6" w:rsidSect="005469E6">
          <w:headerReference w:type="default" r:id="rId8"/>
          <w:pgSz w:w="12240" w:h="15840"/>
          <w:pgMar w:top="1008" w:right="1080" w:bottom="1008" w:left="1080" w:header="432" w:footer="144" w:gutter="0"/>
          <w:cols w:space="180"/>
          <w:docGrid w:linePitch="360"/>
        </w:sectPr>
      </w:pPr>
      <w:r w:rsidRPr="005469E6">
        <w:rPr>
          <w:rFonts w:ascii="Segoe UI Semilight" w:hAnsi="Segoe UI Semilight" w:cs="Segoe UI Semi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8F1A2" wp14:editId="7DFAC451">
                <wp:simplePos x="0" y="0"/>
                <wp:positionH relativeFrom="column">
                  <wp:posOffset>-168275</wp:posOffset>
                </wp:positionH>
                <wp:positionV relativeFrom="paragraph">
                  <wp:posOffset>265761</wp:posOffset>
                </wp:positionV>
                <wp:extent cx="6766008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0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57B16" id="Straight Connector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20.95pt" to="519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45D6B" w:rsidRPr="000F0BD4">
        <w:rPr>
          <w:rFonts w:ascii="Segoe UI Semilight" w:hAnsi="Segoe UI Semilight" w:cs="Segoe UI Semilight"/>
          <w:sz w:val="28"/>
          <w:szCs w:val="22"/>
        </w:rPr>
        <w:t>A Sample of EMAF Activities</w:t>
      </w:r>
      <w:r w:rsidR="00D16909" w:rsidRPr="000F0BD4">
        <w:rPr>
          <w:rFonts w:ascii="Segoe UI Semilight" w:hAnsi="Segoe UI Semilight" w:cs="Segoe UI Semilight"/>
          <w:sz w:val="28"/>
          <w:szCs w:val="22"/>
        </w:rPr>
        <w:t xml:space="preserve"> 2011 </w:t>
      </w:r>
      <w:r w:rsidR="005469E6">
        <w:rPr>
          <w:rFonts w:ascii="Segoe UI Semilight" w:hAnsi="Segoe UI Semilight" w:cs="Segoe UI Semilight"/>
          <w:sz w:val="28"/>
          <w:szCs w:val="22"/>
        </w:rPr>
        <w:t>–</w:t>
      </w:r>
      <w:r w:rsidR="00D16909" w:rsidRPr="000F0BD4">
        <w:rPr>
          <w:rFonts w:ascii="Segoe UI Semilight" w:hAnsi="Segoe UI Semilight" w:cs="Segoe UI Semilight"/>
          <w:sz w:val="28"/>
          <w:szCs w:val="22"/>
        </w:rPr>
        <w:t xml:space="preserve"> P</w:t>
      </w:r>
      <w:r w:rsidR="00045D6B" w:rsidRPr="000F0BD4">
        <w:rPr>
          <w:rFonts w:ascii="Segoe UI Semilight" w:hAnsi="Segoe UI Semilight" w:cs="Segoe UI Semilight"/>
          <w:sz w:val="28"/>
          <w:szCs w:val="22"/>
        </w:rPr>
        <w:t>resent</w:t>
      </w:r>
    </w:p>
    <w:p w14:paraId="1A89DA00" w14:textId="77777777" w:rsidR="00045D6B" w:rsidRPr="005469E6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180" w:right="-90" w:hanging="274"/>
        <w:jc w:val="both"/>
        <w:rPr>
          <w:rFonts w:ascii="Segoe UI Semilight" w:hAnsi="Segoe UI Semilight" w:cs="Segoe UI Semilight"/>
        </w:rPr>
      </w:pPr>
      <w:r w:rsidRPr="005469E6">
        <w:rPr>
          <w:rFonts w:ascii="Segoe UI Semilight" w:hAnsi="Segoe UI Semilight" w:cs="Segoe UI Semilight"/>
        </w:rPr>
        <w:lastRenderedPageBreak/>
        <w:t xml:space="preserve">Supported </w:t>
      </w:r>
      <w:r w:rsidR="00D16909" w:rsidRPr="005469E6">
        <w:rPr>
          <w:rFonts w:ascii="Segoe UI Semilight" w:hAnsi="Segoe UI Semilight" w:cs="Segoe UI Semilight"/>
        </w:rPr>
        <w:t>Washington ACEP’s</w:t>
      </w:r>
      <w:r w:rsidRPr="005469E6">
        <w:rPr>
          <w:rFonts w:ascii="Segoe UI Semilight" w:hAnsi="Segoe UI Semilight" w:cs="Segoe UI Semilight"/>
        </w:rPr>
        <w:t xml:space="preserve"> efforts to preserve Medicaid access to emergency care</w:t>
      </w:r>
      <w:r w:rsidR="00D16909" w:rsidRPr="005469E6">
        <w:rPr>
          <w:rFonts w:ascii="Segoe UI Semilight" w:hAnsi="Segoe UI Semilight" w:cs="Segoe UI Semilight"/>
        </w:rPr>
        <w:t xml:space="preserve"> with </w:t>
      </w:r>
      <w:r w:rsidRPr="005469E6">
        <w:rPr>
          <w:rFonts w:ascii="Segoe UI Semilight" w:hAnsi="Segoe UI Semilight" w:cs="Segoe UI Semilight"/>
        </w:rPr>
        <w:t>a total commitment of $100,000</w:t>
      </w:r>
      <w:r w:rsidR="00D16909" w:rsidRPr="005469E6">
        <w:rPr>
          <w:rFonts w:ascii="Segoe UI Semilight" w:hAnsi="Segoe UI Semilight" w:cs="Segoe UI Semilight"/>
        </w:rPr>
        <w:t xml:space="preserve"> by EMAF</w:t>
      </w:r>
      <w:r w:rsidR="005469E6">
        <w:rPr>
          <w:rFonts w:ascii="Segoe UI Semilight" w:hAnsi="Segoe UI Semilight" w:cs="Segoe UI Semilight"/>
        </w:rPr>
        <w:t>.</w:t>
      </w:r>
    </w:p>
    <w:p w14:paraId="357CFA3B" w14:textId="77777777" w:rsidR="00045D6B" w:rsidRPr="000F0BD4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173" w:right="-90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Retain</w:t>
      </w:r>
      <w:r w:rsidR="00D819D8" w:rsidRPr="000F0BD4">
        <w:rPr>
          <w:rFonts w:ascii="Segoe UI Semilight" w:hAnsi="Segoe UI Semilight" w:cs="Segoe UI Semilight"/>
        </w:rPr>
        <w:t>ed</w:t>
      </w:r>
      <w:r w:rsidRPr="000F0BD4">
        <w:rPr>
          <w:rFonts w:ascii="Segoe UI Semilight" w:hAnsi="Segoe UI Semilight" w:cs="Segoe UI Semilight"/>
        </w:rPr>
        <w:t xml:space="preserve"> prominent consultants </w:t>
      </w:r>
      <w:r w:rsidR="00AC3D17" w:rsidRPr="000F0BD4">
        <w:rPr>
          <w:rFonts w:ascii="Segoe UI Semilight" w:hAnsi="Segoe UI Semilight" w:cs="Segoe UI Semilight"/>
        </w:rPr>
        <w:t>including</w:t>
      </w:r>
      <w:r w:rsidRPr="000F0BD4">
        <w:rPr>
          <w:rFonts w:ascii="Segoe UI Semilight" w:hAnsi="Segoe UI Semilight" w:cs="Segoe UI Semilight"/>
        </w:rPr>
        <w:t xml:space="preserve"> </w:t>
      </w:r>
      <w:r w:rsidR="00D16909" w:rsidRPr="000F0BD4">
        <w:rPr>
          <w:rFonts w:ascii="Segoe UI Semilight" w:hAnsi="Segoe UI Semilight" w:cs="Segoe UI Semilight"/>
        </w:rPr>
        <w:t>Hart Health Strategies and</w:t>
      </w:r>
      <w:r w:rsidRPr="000F0BD4">
        <w:rPr>
          <w:rFonts w:ascii="Segoe UI Semilight" w:hAnsi="Segoe UI Semilight" w:cs="Segoe UI Semilight"/>
        </w:rPr>
        <w:t xml:space="preserve"> Health Policy Alternatives</w:t>
      </w:r>
    </w:p>
    <w:p w14:paraId="1698872C" w14:textId="77777777" w:rsidR="00C66FBD" w:rsidRPr="000F0BD4" w:rsidRDefault="00C66FBD" w:rsidP="005469E6">
      <w:pPr>
        <w:pStyle w:val="ListParagraph"/>
        <w:numPr>
          <w:ilvl w:val="0"/>
          <w:numId w:val="3"/>
        </w:numPr>
        <w:spacing w:before="120" w:line="252" w:lineRule="auto"/>
        <w:ind w:left="173" w:right="-90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 xml:space="preserve">Provided funding of $75,000 for development </w:t>
      </w:r>
      <w:r w:rsidR="001D6D8C" w:rsidRPr="000F0BD4">
        <w:rPr>
          <w:rFonts w:ascii="Segoe UI Semilight" w:hAnsi="Segoe UI Semilight" w:cs="Segoe UI Semilight"/>
        </w:rPr>
        <w:t xml:space="preserve">of and data modeling for </w:t>
      </w:r>
      <w:r w:rsidRPr="000F0BD4">
        <w:rPr>
          <w:rFonts w:ascii="Segoe UI Semilight" w:hAnsi="Segoe UI Semilight" w:cs="Segoe UI Semilight"/>
        </w:rPr>
        <w:t>the first EM-specific Alternative Payment Model, the Acute Unscheduled Care Model by ACEP</w:t>
      </w:r>
      <w:r w:rsidR="00D16909" w:rsidRPr="000F0BD4">
        <w:rPr>
          <w:rFonts w:ascii="Segoe UI Semilight" w:hAnsi="Segoe UI Semilight" w:cs="Segoe UI Semilight"/>
        </w:rPr>
        <w:t>’s</w:t>
      </w:r>
      <w:r w:rsidRPr="000F0BD4">
        <w:rPr>
          <w:rFonts w:ascii="Segoe UI Semilight" w:hAnsi="Segoe UI Semilight" w:cs="Segoe UI Semilight"/>
        </w:rPr>
        <w:t xml:space="preserve"> APM Task Force.</w:t>
      </w:r>
    </w:p>
    <w:p w14:paraId="74865F60" w14:textId="77777777" w:rsidR="001D6D8C" w:rsidRPr="000F0BD4" w:rsidRDefault="00D16909" w:rsidP="00622F54">
      <w:pPr>
        <w:pStyle w:val="ListParagraph"/>
        <w:numPr>
          <w:ilvl w:val="1"/>
          <w:numId w:val="3"/>
        </w:numPr>
        <w:spacing w:before="80" w:line="252" w:lineRule="auto"/>
        <w:ind w:left="447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 xml:space="preserve">Model is complete and </w:t>
      </w:r>
      <w:r w:rsidR="00C66FBD" w:rsidRPr="000F0BD4">
        <w:rPr>
          <w:rFonts w:ascii="Segoe UI Semilight" w:hAnsi="Segoe UI Semilight" w:cs="Segoe UI Semilight"/>
        </w:rPr>
        <w:t xml:space="preserve">scheduled to go before the </w:t>
      </w:r>
      <w:r w:rsidR="001D6D8C" w:rsidRPr="000F0BD4">
        <w:rPr>
          <w:rFonts w:ascii="Segoe UI Semilight" w:hAnsi="Segoe UI Semilight" w:cs="Segoe UI Semilight"/>
        </w:rPr>
        <w:t>PTAC</w:t>
      </w:r>
      <w:r w:rsidR="00C66FBD" w:rsidRPr="000F0BD4">
        <w:rPr>
          <w:rFonts w:ascii="Segoe UI Semilight" w:hAnsi="Segoe UI Semilight" w:cs="Segoe UI Semilight"/>
        </w:rPr>
        <w:t xml:space="preserve">, which can recommend </w:t>
      </w:r>
      <w:r w:rsidR="001D6D8C" w:rsidRPr="000F0BD4">
        <w:rPr>
          <w:rFonts w:ascii="Segoe UI Semilight" w:hAnsi="Segoe UI Semilight" w:cs="Segoe UI Semilight"/>
        </w:rPr>
        <w:t xml:space="preserve">it </w:t>
      </w:r>
      <w:r w:rsidR="00C66FBD" w:rsidRPr="000F0BD4">
        <w:rPr>
          <w:rFonts w:ascii="Segoe UI Semilight" w:hAnsi="Segoe UI Semilight" w:cs="Segoe UI Semilight"/>
        </w:rPr>
        <w:t xml:space="preserve">to </w:t>
      </w:r>
      <w:r w:rsidR="001D6D8C" w:rsidRPr="000F0BD4">
        <w:rPr>
          <w:rFonts w:ascii="Segoe UI Semilight" w:hAnsi="Segoe UI Semilight" w:cs="Segoe UI Semilight"/>
        </w:rPr>
        <w:t>the HHS Secretary as a MACRA Advanced Alternative Payment Model</w:t>
      </w:r>
    </w:p>
    <w:p w14:paraId="6205CF26" w14:textId="77777777" w:rsidR="001D6D8C" w:rsidRPr="000F0BD4" w:rsidRDefault="001D6D8C" w:rsidP="005469E6">
      <w:pPr>
        <w:pStyle w:val="ListParagraph"/>
        <w:numPr>
          <w:ilvl w:val="0"/>
          <w:numId w:val="3"/>
        </w:numPr>
        <w:spacing w:before="120" w:line="252" w:lineRule="auto"/>
        <w:ind w:left="173" w:right="-90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Facilitated data sharing on Anthem denials that supported advocacy and PR efforts to protect the prudent layperson standard</w:t>
      </w:r>
    </w:p>
    <w:p w14:paraId="13E8C697" w14:textId="77777777" w:rsidR="001D6D8C" w:rsidRPr="000F0BD4" w:rsidRDefault="001D6D8C" w:rsidP="00622F54">
      <w:pPr>
        <w:pStyle w:val="ListParagraph"/>
        <w:numPr>
          <w:ilvl w:val="1"/>
          <w:numId w:val="3"/>
        </w:numPr>
        <w:spacing w:before="80" w:line="252" w:lineRule="auto"/>
        <w:ind w:left="447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On PR side, data led to NY Times running a story on the issue that emphasized the significant increase in denials caused by Anthem</w:t>
      </w:r>
    </w:p>
    <w:p w14:paraId="641743E7" w14:textId="77777777" w:rsidR="00573861" w:rsidRPr="000F0BD4" w:rsidRDefault="00573861" w:rsidP="005469E6">
      <w:pPr>
        <w:pStyle w:val="ListParagraph"/>
        <w:numPr>
          <w:ilvl w:val="0"/>
          <w:numId w:val="3"/>
        </w:numPr>
        <w:spacing w:before="120" w:line="252" w:lineRule="auto"/>
        <w:ind w:left="173" w:right="-90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Provided financial support for ACEP’s lawsuit filed against the U.S. Departments of Health and Human Services, Labor, and Treasury alleging a regulation issued under the Affordable Care Act failed to ensure reasonable payment to physicians for out-of-network emergency services.</w:t>
      </w:r>
    </w:p>
    <w:p w14:paraId="6B94E5D5" w14:textId="77777777" w:rsidR="00573861" w:rsidRPr="000F0BD4" w:rsidRDefault="001D6D8C" w:rsidP="00622F54">
      <w:pPr>
        <w:pStyle w:val="ListParagraph"/>
        <w:numPr>
          <w:ilvl w:val="1"/>
          <w:numId w:val="3"/>
        </w:numPr>
        <w:spacing w:before="80" w:line="252" w:lineRule="auto"/>
        <w:ind w:left="447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ACEP’s motion for summary judgment was partially granted, with the Court noting CMS had “all but ignored” concerns raised by stakeholders, and directing the department to respond.</w:t>
      </w:r>
    </w:p>
    <w:p w14:paraId="4A421251" w14:textId="77777777" w:rsidR="00573861" w:rsidRDefault="005469E6" w:rsidP="00622F54">
      <w:pPr>
        <w:pStyle w:val="ListParagraph"/>
        <w:numPr>
          <w:ilvl w:val="1"/>
          <w:numId w:val="3"/>
        </w:numPr>
        <w:spacing w:before="80" w:line="252" w:lineRule="auto"/>
        <w:ind w:left="447" w:right="-86" w:hanging="274"/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</w:t>
      </w:r>
      <w:r w:rsidR="00573861" w:rsidRPr="000F0BD4">
        <w:rPr>
          <w:rFonts w:ascii="Segoe UI Semilight" w:hAnsi="Segoe UI Semilight" w:cs="Segoe UI Semilight"/>
        </w:rPr>
        <w:t xml:space="preserve">iscovery phase resulted in gaining access to the valuable NORC report commissioned by the Administration to compare existing transparent database options. </w:t>
      </w:r>
    </w:p>
    <w:p w14:paraId="63C583AB" w14:textId="77777777" w:rsidR="00622F54" w:rsidRPr="000F0BD4" w:rsidRDefault="00622F54" w:rsidP="00622F54">
      <w:pPr>
        <w:pStyle w:val="ListParagraph"/>
        <w:spacing w:before="60" w:line="252" w:lineRule="auto"/>
        <w:ind w:left="450" w:right="-90"/>
        <w:contextualSpacing/>
        <w:jc w:val="both"/>
        <w:rPr>
          <w:rFonts w:ascii="Segoe UI Semilight" w:hAnsi="Segoe UI Semilight" w:cs="Segoe UI Semilight"/>
        </w:rPr>
      </w:pPr>
    </w:p>
    <w:p w14:paraId="2B591396" w14:textId="77777777" w:rsidR="003415D4" w:rsidRPr="000F0BD4" w:rsidRDefault="00D819D8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lastRenderedPageBreak/>
        <w:t>F</w:t>
      </w:r>
      <w:r w:rsidR="00045D6B" w:rsidRPr="000F0BD4">
        <w:rPr>
          <w:rFonts w:ascii="Segoe UI Semilight" w:hAnsi="Segoe UI Semilight" w:cs="Segoe UI Semilight"/>
        </w:rPr>
        <w:t xml:space="preserve">unded </w:t>
      </w:r>
      <w:r w:rsidRPr="000F0BD4">
        <w:rPr>
          <w:rFonts w:ascii="Segoe UI Semilight" w:hAnsi="Segoe UI Semilight" w:cs="Segoe UI Semilight"/>
        </w:rPr>
        <w:t xml:space="preserve">successful </w:t>
      </w:r>
      <w:r w:rsidR="00045D6B" w:rsidRPr="000F0BD4">
        <w:rPr>
          <w:rFonts w:ascii="Segoe UI Semilight" w:hAnsi="Segoe UI Semilight" w:cs="Segoe UI Semilight"/>
        </w:rPr>
        <w:t>challenge to McKesson’s software that inappropriately bundles the professional component of FAST ultrasound exams with payments for E /M services</w:t>
      </w:r>
      <w:r w:rsidRPr="000F0BD4">
        <w:rPr>
          <w:rFonts w:ascii="Segoe UI Semilight" w:hAnsi="Segoe UI Semilight" w:cs="Segoe UI Semilight"/>
        </w:rPr>
        <w:t>.</w:t>
      </w:r>
      <w:r w:rsidR="00045D6B" w:rsidRPr="000F0BD4">
        <w:rPr>
          <w:rFonts w:ascii="Segoe UI Semilight" w:hAnsi="Segoe UI Semilight" w:cs="Segoe UI Semilight"/>
        </w:rPr>
        <w:t xml:space="preserve"> </w:t>
      </w:r>
    </w:p>
    <w:p w14:paraId="13511A84" w14:textId="77777777" w:rsidR="00045D6B" w:rsidRPr="000F0BD4" w:rsidRDefault="00045D6B" w:rsidP="005469E6">
      <w:pPr>
        <w:pStyle w:val="ListParagraph"/>
        <w:numPr>
          <w:ilvl w:val="1"/>
          <w:numId w:val="3"/>
        </w:numPr>
        <w:spacing w:before="60" w:line="252" w:lineRule="auto"/>
        <w:ind w:left="810" w:right="-90" w:hanging="274"/>
        <w:contextualSpacing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Effective April 1, 2013, the bundling of CPT 76705 with ED E/M codes were removed from McKesson’s Knowledge Base.</w:t>
      </w:r>
    </w:p>
    <w:p w14:paraId="2972F632" w14:textId="77777777" w:rsidR="00C66FBD" w:rsidRPr="000F0BD4" w:rsidRDefault="00C66FBD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Funded the Rand study on multi-year trends in hospitalization, “The Evolving Role of Emergency Departments in the United States,” released on May 20, 2013.</w:t>
      </w:r>
    </w:p>
    <w:p w14:paraId="3A5BB781" w14:textId="77777777" w:rsidR="00C66FBD" w:rsidRPr="000F0BD4" w:rsidRDefault="00C66FBD" w:rsidP="005469E6">
      <w:pPr>
        <w:pStyle w:val="ListParagraph"/>
        <w:numPr>
          <w:ilvl w:val="1"/>
          <w:numId w:val="3"/>
        </w:numPr>
        <w:spacing w:before="60" w:line="252" w:lineRule="auto"/>
        <w:ind w:left="810" w:right="-90" w:hanging="274"/>
        <w:contextualSpacing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ACEP’s public relations department coordinated a public advocacy campaign timed with the report’s release.</w:t>
      </w:r>
    </w:p>
    <w:p w14:paraId="6B9B9372" w14:textId="77777777" w:rsidR="00045D6B" w:rsidRPr="000F0BD4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</w:pPr>
      <w:bookmarkStart w:id="1" w:name="_GoBack"/>
      <w:bookmarkEnd w:id="1"/>
      <w:r w:rsidRPr="000F0BD4">
        <w:rPr>
          <w:rFonts w:ascii="Segoe UI Semilight" w:hAnsi="Segoe UI Semilight" w:cs="Segoe UI Semilight"/>
        </w:rPr>
        <w:t>In coordination with the Emergency Medicine Foundation, EMAF provide</w:t>
      </w:r>
      <w:r w:rsidR="00C66FBD" w:rsidRPr="000F0BD4">
        <w:rPr>
          <w:rFonts w:ascii="Segoe UI Semilight" w:hAnsi="Segoe UI Semilight" w:cs="Segoe UI Semilight"/>
        </w:rPr>
        <w:t>d</w:t>
      </w:r>
      <w:r w:rsidRPr="000F0BD4">
        <w:rPr>
          <w:rFonts w:ascii="Segoe UI Semilight" w:hAnsi="Segoe UI Semilight" w:cs="Segoe UI Semilight"/>
        </w:rPr>
        <w:t xml:space="preserve"> startup funding for development of the EMF Health Policy Senior Advisor Panel and Health Policy Research Fellowship Program.  </w:t>
      </w:r>
    </w:p>
    <w:p w14:paraId="4A747679" w14:textId="77777777" w:rsidR="00045D6B" w:rsidRPr="000F0BD4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EMAF also made an important contribution to ACEP’s development, validation and maintenance of quality metrics of $100,000.  This contribution comes on top of the gene</w:t>
      </w:r>
      <w:r w:rsidR="00204B6D" w:rsidRPr="000F0BD4">
        <w:rPr>
          <w:rFonts w:ascii="Segoe UI Semilight" w:hAnsi="Segoe UI Semilight" w:cs="Segoe UI Semilight"/>
        </w:rPr>
        <w:t>rous</w:t>
      </w:r>
      <w:r w:rsidRPr="000F0BD4">
        <w:rPr>
          <w:rFonts w:ascii="Segoe UI Semilight" w:hAnsi="Segoe UI Semilight" w:cs="Segoe UI Semilight"/>
        </w:rPr>
        <w:t xml:space="preserve"> contribution from the American Board of Emergency Medicine and ACEP</w:t>
      </w:r>
      <w:r w:rsidR="003415D4" w:rsidRPr="000F0BD4">
        <w:rPr>
          <w:rFonts w:ascii="Segoe UI Semilight" w:hAnsi="Segoe UI Semilight" w:cs="Segoe UI Semilight"/>
        </w:rPr>
        <w:t>’s</w:t>
      </w:r>
      <w:r w:rsidRPr="000F0BD4">
        <w:rPr>
          <w:rFonts w:ascii="Segoe UI Semilight" w:hAnsi="Segoe UI Semilight" w:cs="Segoe UI Semilight"/>
        </w:rPr>
        <w:t xml:space="preserve"> own substantial funding of approximately $300,000.</w:t>
      </w:r>
    </w:p>
    <w:p w14:paraId="70F1D5BF" w14:textId="77777777" w:rsidR="00045D6B" w:rsidRPr="000F0BD4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</w:pPr>
      <w:r w:rsidRPr="000F0BD4">
        <w:rPr>
          <w:rFonts w:ascii="Segoe UI Semilight" w:hAnsi="Segoe UI Semilight" w:cs="Segoe UI Semilight"/>
        </w:rPr>
        <w:t>Met with Health Affairs to discuss a sp</w:t>
      </w:r>
      <w:r w:rsidR="00573861" w:rsidRPr="000F0BD4">
        <w:rPr>
          <w:rFonts w:ascii="Segoe UI Semilight" w:hAnsi="Segoe UI Semilight" w:cs="Segoe UI Semilight"/>
        </w:rPr>
        <w:t xml:space="preserve">ecial publication on EM issues. </w:t>
      </w:r>
      <w:r w:rsidRPr="000F0BD4">
        <w:rPr>
          <w:rFonts w:ascii="Segoe UI Semilight" w:hAnsi="Segoe UI Semilight" w:cs="Segoe UI Semilight"/>
        </w:rPr>
        <w:t xml:space="preserve">Support and input from </w:t>
      </w:r>
      <w:r w:rsidR="003415D4" w:rsidRPr="000F0BD4">
        <w:rPr>
          <w:rFonts w:ascii="Segoe UI Semilight" w:hAnsi="Segoe UI Semilight" w:cs="Segoe UI Semilight"/>
        </w:rPr>
        <w:t xml:space="preserve">EMAF </w:t>
      </w:r>
      <w:r w:rsidRPr="000F0BD4">
        <w:rPr>
          <w:rFonts w:ascii="Segoe UI Semilight" w:hAnsi="Segoe UI Semilight" w:cs="Segoe UI Semilight"/>
        </w:rPr>
        <w:t>advance</w:t>
      </w:r>
      <w:r w:rsidR="003415D4" w:rsidRPr="000F0BD4">
        <w:rPr>
          <w:rFonts w:ascii="Segoe UI Semilight" w:hAnsi="Segoe UI Semilight" w:cs="Segoe UI Semilight"/>
        </w:rPr>
        <w:t>d</w:t>
      </w:r>
      <w:r w:rsidR="00573861" w:rsidRPr="000F0BD4">
        <w:rPr>
          <w:rFonts w:ascii="Segoe UI Semilight" w:hAnsi="Segoe UI Semilight" w:cs="Segoe UI Semilight"/>
        </w:rPr>
        <w:t xml:space="preserve"> EM priorities, c</w:t>
      </w:r>
      <w:r w:rsidRPr="000F0BD4">
        <w:rPr>
          <w:rFonts w:ascii="Segoe UI Semilight" w:hAnsi="Segoe UI Semilight" w:cs="Segoe UI Semilight"/>
        </w:rPr>
        <w:t>ontributed $25,000 toward publication expenses.</w:t>
      </w:r>
    </w:p>
    <w:p w14:paraId="08A1FFC5" w14:textId="77777777" w:rsidR="001D6D8C" w:rsidRPr="005469E6" w:rsidRDefault="00045D6B" w:rsidP="005469E6">
      <w:pPr>
        <w:pStyle w:val="ListParagraph"/>
        <w:numPr>
          <w:ilvl w:val="0"/>
          <w:numId w:val="3"/>
        </w:numPr>
        <w:spacing w:before="120" w:line="252" w:lineRule="auto"/>
        <w:ind w:left="533" w:right="-86" w:hanging="274"/>
        <w:jc w:val="both"/>
        <w:rPr>
          <w:rFonts w:ascii="Segoe UI Semilight" w:hAnsi="Segoe UI Semilight" w:cs="Segoe UI Semilight"/>
        </w:rPr>
        <w:sectPr w:rsidR="001D6D8C" w:rsidRPr="005469E6" w:rsidSect="005469E6">
          <w:type w:val="continuous"/>
          <w:pgSz w:w="12240" w:h="15840"/>
          <w:pgMar w:top="1008" w:right="1080" w:bottom="1008" w:left="1080" w:header="432" w:footer="144" w:gutter="0"/>
          <w:cols w:num="2" w:space="180"/>
          <w:docGrid w:linePitch="360"/>
        </w:sectPr>
      </w:pPr>
      <w:r w:rsidRPr="005469E6">
        <w:rPr>
          <w:rFonts w:ascii="Segoe UI Semilight" w:hAnsi="Segoe UI Semilight" w:cs="Segoe UI Semilight"/>
        </w:rPr>
        <w:t>Commissioned a study through th</w:t>
      </w:r>
      <w:r w:rsidR="00573861" w:rsidRPr="005469E6">
        <w:rPr>
          <w:rFonts w:ascii="Segoe UI Semilight" w:hAnsi="Segoe UI Semilight" w:cs="Segoe UI Semilight"/>
        </w:rPr>
        <w:t>e EMF funded scholars program, “</w:t>
      </w:r>
      <w:r w:rsidRPr="005469E6">
        <w:rPr>
          <w:rFonts w:ascii="Segoe UI Semilight" w:hAnsi="Segoe UI Semilight" w:cs="Segoe UI Semilight"/>
        </w:rPr>
        <w:t xml:space="preserve">Examining the evolving role of the Emergency Department in acute ambulatory services for Medicare beneficiaries: </w:t>
      </w:r>
      <w:r w:rsidR="00D16909" w:rsidRPr="005469E6">
        <w:rPr>
          <w:rFonts w:ascii="Segoe UI Semilight" w:hAnsi="Segoe UI Semilight" w:cs="Segoe UI Semilight"/>
        </w:rPr>
        <w:t>I</w:t>
      </w:r>
      <w:r w:rsidRPr="005469E6">
        <w:rPr>
          <w:rFonts w:ascii="Segoe UI Semilight" w:hAnsi="Segoe UI Semilight" w:cs="Segoe UI Semilight"/>
        </w:rPr>
        <w:t>mp</w:t>
      </w:r>
      <w:r w:rsidR="00573861" w:rsidRPr="005469E6">
        <w:rPr>
          <w:rFonts w:ascii="Segoe UI Semilight" w:hAnsi="Segoe UI Semilight" w:cs="Segoe UI Semilight"/>
        </w:rPr>
        <w:t>lications for care coordination”</w:t>
      </w:r>
    </w:p>
    <w:bookmarkEnd w:id="0"/>
    <w:p w14:paraId="49DDD3F3" w14:textId="77777777" w:rsidR="00702A5A" w:rsidRPr="00091045" w:rsidRDefault="00702A5A" w:rsidP="00091045">
      <w:pPr>
        <w:spacing w:line="276" w:lineRule="auto"/>
        <w:rPr>
          <w:rFonts w:ascii="Cambria" w:hAnsi="Cambria" w:cs="Times New Roman"/>
          <w:sz w:val="20"/>
          <w:szCs w:val="20"/>
        </w:rPr>
      </w:pPr>
    </w:p>
    <w:sectPr w:rsidR="00702A5A" w:rsidRPr="00091045" w:rsidSect="00D819D8">
      <w:headerReference w:type="default" r:id="rId9"/>
      <w:type w:val="continuous"/>
      <w:pgSz w:w="12240" w:h="15840"/>
      <w:pgMar w:top="1008" w:right="1080" w:bottom="1008" w:left="108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3BFA6" w14:textId="77777777" w:rsidR="00ED609A" w:rsidRDefault="00ED609A" w:rsidP="00091045">
      <w:r>
        <w:separator/>
      </w:r>
    </w:p>
  </w:endnote>
  <w:endnote w:type="continuationSeparator" w:id="0">
    <w:p w14:paraId="6D51F7DE" w14:textId="77777777" w:rsidR="00ED609A" w:rsidRDefault="00ED609A" w:rsidP="000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emilight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7EE7" w14:textId="77777777" w:rsidR="00ED609A" w:rsidRDefault="00ED609A" w:rsidP="00091045">
      <w:r>
        <w:separator/>
      </w:r>
    </w:p>
  </w:footnote>
  <w:footnote w:type="continuationSeparator" w:id="0">
    <w:p w14:paraId="7FCB8DAA" w14:textId="77777777" w:rsidR="00ED609A" w:rsidRDefault="00ED609A" w:rsidP="00091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8CA3" w14:textId="77777777" w:rsidR="005469E6" w:rsidRPr="00D16909" w:rsidRDefault="005469E6" w:rsidP="000F0BD4">
    <w:pPr>
      <w:kinsoku w:val="0"/>
      <w:overflowPunct w:val="0"/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EB3DBF0" wp14:editId="55097275">
          <wp:simplePos x="0" y="0"/>
          <wp:positionH relativeFrom="column">
            <wp:posOffset>-168910</wp:posOffset>
          </wp:positionH>
          <wp:positionV relativeFrom="paragraph">
            <wp:posOffset>-80314</wp:posOffset>
          </wp:positionV>
          <wp:extent cx="2700655" cy="1001395"/>
          <wp:effectExtent l="0" t="0" r="4445" b="825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65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7B5C" w14:textId="77777777" w:rsidR="005469E6" w:rsidRPr="00D16909" w:rsidRDefault="005469E6" w:rsidP="000F0BD4">
    <w:pPr>
      <w:kinsoku w:val="0"/>
      <w:overflowPunct w:val="0"/>
      <w:autoSpaceDE w:val="0"/>
      <w:autoSpaceDN w:val="0"/>
      <w:adjustRightInd w:val="0"/>
      <w:rPr>
        <w:rFonts w:ascii="Times New Roman" w:eastAsiaTheme="minorHAns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61BE"/>
    <w:multiLevelType w:val="hybridMultilevel"/>
    <w:tmpl w:val="E0CC9202"/>
    <w:lvl w:ilvl="0" w:tplc="F1D418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2CB6"/>
    <w:multiLevelType w:val="hybridMultilevel"/>
    <w:tmpl w:val="CEF87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22367"/>
    <w:multiLevelType w:val="hybridMultilevel"/>
    <w:tmpl w:val="29FC2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B76B0"/>
    <w:multiLevelType w:val="hybridMultilevel"/>
    <w:tmpl w:val="3252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5B7B"/>
    <w:multiLevelType w:val="hybridMultilevel"/>
    <w:tmpl w:val="911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B2D72"/>
    <w:multiLevelType w:val="hybridMultilevel"/>
    <w:tmpl w:val="CC5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45"/>
    <w:rsid w:val="00005AB3"/>
    <w:rsid w:val="00045D6B"/>
    <w:rsid w:val="00091045"/>
    <w:rsid w:val="000C03B8"/>
    <w:rsid w:val="000F0BD4"/>
    <w:rsid w:val="00161D42"/>
    <w:rsid w:val="00175871"/>
    <w:rsid w:val="001D6D8C"/>
    <w:rsid w:val="001E392B"/>
    <w:rsid w:val="00200F3D"/>
    <w:rsid w:val="00204B6D"/>
    <w:rsid w:val="00282D92"/>
    <w:rsid w:val="002D0398"/>
    <w:rsid w:val="002E451A"/>
    <w:rsid w:val="003415D4"/>
    <w:rsid w:val="00441D33"/>
    <w:rsid w:val="004443C2"/>
    <w:rsid w:val="004F0E69"/>
    <w:rsid w:val="00542246"/>
    <w:rsid w:val="00542AA5"/>
    <w:rsid w:val="005469E6"/>
    <w:rsid w:val="00573861"/>
    <w:rsid w:val="00591596"/>
    <w:rsid w:val="005C6DF1"/>
    <w:rsid w:val="00617BFB"/>
    <w:rsid w:val="00622F54"/>
    <w:rsid w:val="006A5CDA"/>
    <w:rsid w:val="006B1262"/>
    <w:rsid w:val="006B5480"/>
    <w:rsid w:val="00702A5A"/>
    <w:rsid w:val="00854E12"/>
    <w:rsid w:val="008763F5"/>
    <w:rsid w:val="00880700"/>
    <w:rsid w:val="008B1D25"/>
    <w:rsid w:val="008D2982"/>
    <w:rsid w:val="008D52CD"/>
    <w:rsid w:val="0093458B"/>
    <w:rsid w:val="0095476B"/>
    <w:rsid w:val="009D4F15"/>
    <w:rsid w:val="00A35D12"/>
    <w:rsid w:val="00AC3D17"/>
    <w:rsid w:val="00AF10D5"/>
    <w:rsid w:val="00B74459"/>
    <w:rsid w:val="00B8230B"/>
    <w:rsid w:val="00BC3C02"/>
    <w:rsid w:val="00BF6EE5"/>
    <w:rsid w:val="00C66FBD"/>
    <w:rsid w:val="00C75219"/>
    <w:rsid w:val="00C9444B"/>
    <w:rsid w:val="00CA42EA"/>
    <w:rsid w:val="00CF33BC"/>
    <w:rsid w:val="00D16909"/>
    <w:rsid w:val="00D42AFA"/>
    <w:rsid w:val="00D700EB"/>
    <w:rsid w:val="00D819D8"/>
    <w:rsid w:val="00ED609A"/>
    <w:rsid w:val="00EE0AC7"/>
    <w:rsid w:val="00F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16355"/>
  <w15:docId w15:val="{BE53E8D9-7AA6-498A-9723-581CDBA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45"/>
  </w:style>
  <w:style w:type="paragraph" w:styleId="Footer">
    <w:name w:val="footer"/>
    <w:basedOn w:val="Normal"/>
    <w:link w:val="FooterChar"/>
    <w:uiPriority w:val="99"/>
    <w:unhideWhenUsed/>
    <w:rsid w:val="00091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45"/>
  </w:style>
  <w:style w:type="paragraph" w:styleId="ListParagraph">
    <w:name w:val="List Paragraph"/>
    <w:basedOn w:val="Normal"/>
    <w:uiPriority w:val="1"/>
    <w:qFormat/>
    <w:rsid w:val="00091045"/>
    <w:pPr>
      <w:ind w:left="720"/>
    </w:pPr>
    <w:rPr>
      <w:rFonts w:ascii="Calibri" w:eastAsiaTheme="minorHAns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10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D9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E45FBA-3933-F04E-AC1B-5A0848CB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ACEP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Calaway</cp:lastModifiedBy>
  <cp:revision>2</cp:revision>
  <dcterms:created xsi:type="dcterms:W3CDTF">2018-08-08T22:30:00Z</dcterms:created>
  <dcterms:modified xsi:type="dcterms:W3CDTF">2018-08-08T22:30:00Z</dcterms:modified>
</cp:coreProperties>
</file>